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default" w:ascii="Arial" w:hAnsi="Arial" w:eastAsia="宋体" w:cs="Times New Roman"/>
          <w:b/>
          <w:bCs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5"/>
      <w:bookmarkStart w:id="3" w:name="OLE_LINK6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9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5-e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ab/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R4-20060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23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Meeting, 25 May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5 June, 2020</w:t>
      </w:r>
    </w:p>
    <w:bookmarkEnd w:id="2"/>
    <w:bookmarkEnd w:id="3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ascii="Arial" w:hAnsi="Arial" w:eastAsia="Calibri" w:cs="Arial"/>
          <w:b/>
          <w:bCs/>
          <w:sz w:val="24"/>
          <w:lang w:val="en-GB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</w:t>
      </w:r>
    </w:p>
    <w:p>
      <w:pPr>
        <w:ind w:left="1985" w:hanging="1985"/>
        <w:jc w:val="both"/>
        <w:rPr>
          <w:rFonts w:ascii="Arial" w:hAnsi="Arial" w:eastAsia="Calibri" w:cs="Arial"/>
          <w:b/>
          <w:bCs/>
          <w:sz w:val="24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bookmarkStart w:id="4" w:name="_Hlk7778829"/>
      <w:r>
        <w:rPr>
          <w:rFonts w:hint="eastAsia" w:ascii="Arial" w:hAnsi="Arial" w:eastAsia="Calibri" w:cs="Arial"/>
          <w:b/>
          <w:bCs/>
          <w:sz w:val="24"/>
          <w:lang w:val="en-GB"/>
        </w:rPr>
        <w:t>PBCH payload reading for SSB index identification in NR-U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  <w:bookmarkEnd w:id="4"/>
    </w:p>
    <w:p>
      <w:pPr>
        <w:tabs>
          <w:tab w:val="left" w:pos="1985"/>
        </w:tabs>
        <w:spacing w:after="120" w:line="240" w:lineRule="auto"/>
        <w:jc w:val="both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6.1.5.11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ascii="Arial" w:hAnsi="Arial" w:eastAsia="Calibri" w:cs="Arial"/>
          <w:b/>
          <w:bCs/>
          <w:sz w:val="24"/>
        </w:rPr>
        <w:t>Discussion</w:t>
      </w:r>
    </w:p>
    <w:p>
      <w:pPr>
        <w:keepNext/>
        <w:keepLines/>
        <w:pBdr>
          <w:top w:val="single" w:color="auto" w:sz="12" w:space="0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hAnsi="Arial" w:eastAsia="宋体" w:cs="Times New Roman"/>
          <w:sz w:val="36"/>
          <w:szCs w:val="20"/>
          <w:lang w:val="en-GB"/>
        </w:rPr>
      </w:pPr>
      <w:r>
        <w:rPr>
          <w:rFonts w:ascii="Arial" w:hAnsi="Arial" w:eastAsia="宋体" w:cs="Times New Roman"/>
          <w:sz w:val="36"/>
          <w:szCs w:val="20"/>
          <w:lang w:val="en-GB"/>
        </w:rPr>
        <w:t>1</w:t>
      </w:r>
      <w:r>
        <w:rPr>
          <w:rFonts w:ascii="Arial" w:hAnsi="Arial" w:eastAsia="宋体" w:cs="Times New Roman"/>
          <w:sz w:val="36"/>
          <w:szCs w:val="20"/>
          <w:lang w:val="en-GB"/>
        </w:rPr>
        <w:tab/>
      </w:r>
      <w:r>
        <w:rPr>
          <w:rFonts w:ascii="Arial" w:hAnsi="Arial" w:eastAsia="宋体" w:cs="Times New Roman"/>
          <w:sz w:val="36"/>
          <w:szCs w:val="20"/>
          <w:lang w:val="en-GB"/>
        </w:rPr>
        <w:t>Intro</w:t>
      </w:r>
      <w:r>
        <w:rPr>
          <w:rStyle w:val="31"/>
        </w:rPr>
        <w:t>ductio</w:t>
      </w:r>
      <w:r>
        <w:rPr>
          <w:rFonts w:ascii="Arial" w:hAnsi="Arial" w:eastAsia="宋体" w:cs="Times New Roman"/>
          <w:sz w:val="36"/>
          <w:szCs w:val="20"/>
          <w:lang w:val="en-GB"/>
        </w:rPr>
        <w:t>n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In RAN4 94-e meeting, the topic of PBCH payload reading for SSB index identification in NR-U has been discussed [1]. The group has reached one consensus conditioned on that Q is known to the UE, while couldn</w:t>
      </w:r>
      <w:r>
        <w:rPr>
          <w:rFonts w:hint="default" w:eastAsia="宋体"/>
          <w:sz w:val="22"/>
          <w:szCs w:val="22"/>
          <w:lang w:val="en-US" w:eastAsia="zh-CN"/>
        </w:rPr>
        <w:t>’</w:t>
      </w:r>
      <w:r>
        <w:rPr>
          <w:rFonts w:hint="eastAsia" w:eastAsia="宋体"/>
          <w:sz w:val="22"/>
          <w:szCs w:val="22"/>
          <w:lang w:val="en-US" w:eastAsia="zh-CN"/>
        </w:rPr>
        <w:t>t agree on if Q could be assumed to be known to the UE.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The options are listed below:</w:t>
      </w:r>
    </w:p>
    <w:tbl>
      <w:tblPr>
        <w:tblStyle w:val="19"/>
        <w:tblW w:w="98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3" w:type="dxa"/>
          </w:tcPr>
          <w:p>
            <w:pPr>
              <w:ind w:left="851" w:hanging="284"/>
              <w:jc w:val="center"/>
            </w:pPr>
            <w:r>
              <w:drawing>
                <wp:inline distT="0" distB="0" distL="114300" distR="114300">
                  <wp:extent cx="4548505" cy="1078230"/>
                  <wp:effectExtent l="0" t="0" r="4445" b="7620"/>
                  <wp:docPr id="4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8505" cy="1078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ind w:left="851" w:hanging="284"/>
              <w:jc w:val="center"/>
              <w:rPr>
                <w:rFonts w:eastAsia="Calibri" w:cs="Times New Roman"/>
                <w:sz w:val="22"/>
                <w:szCs w:val="22"/>
                <w:vertAlign w:val="baseline"/>
                <w:lang w:val="en-GB"/>
              </w:rPr>
            </w:pPr>
            <w:r>
              <w:drawing>
                <wp:inline distT="0" distB="0" distL="114300" distR="114300">
                  <wp:extent cx="4641850" cy="1289685"/>
                  <wp:effectExtent l="0" t="0" r="6350" b="5715"/>
                  <wp:docPr id="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41850" cy="1289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The discussion continued in RAN4 94-e-bis [2] as Issue 2-5-1:</w:t>
      </w:r>
    </w:p>
    <w:tbl>
      <w:tblPr>
        <w:tblStyle w:val="19"/>
        <w:tblW w:w="98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9843" w:type="dxa"/>
          </w:tcPr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int="default" w:eastAsia="宋体"/>
                <w:sz w:val="22"/>
                <w:szCs w:val="22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6107430" cy="1203325"/>
                  <wp:effectExtent l="0" t="0" r="7620" b="1587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07430" cy="1203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hint="default" w:eastAsia="宋体"/>
          <w:sz w:val="22"/>
          <w:szCs w:val="22"/>
          <w:lang w:val="en-US" w:eastAsia="zh-CN"/>
        </w:rPr>
      </w:pP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In this paper, we tend to discuss this issue and provide our view.</w:t>
      </w:r>
    </w:p>
    <w:p>
      <w:pPr>
        <w:pStyle w:val="28"/>
        <w:jc w:val="both"/>
        <w:rPr>
          <w:rFonts w:hint="default"/>
          <w:lang w:val="en-US" w:eastAsia="zh-CN"/>
        </w:rPr>
      </w:pPr>
      <w:r>
        <w:t>2</w:t>
      </w:r>
      <w:r>
        <w:tab/>
      </w:r>
      <w:r>
        <w:rPr>
          <w:rFonts w:hint="eastAsia"/>
          <w:lang w:val="en-US" w:eastAsia="zh-CN"/>
        </w:rPr>
        <w:t>Discussion</w:t>
      </w:r>
    </w:p>
    <w:p>
      <w:pPr>
        <w:rPr>
          <w:rFonts w:hint="default" w:eastAsia="宋体" w:cstheme="minorBidi"/>
          <w:sz w:val="22"/>
          <w:szCs w:val="22"/>
          <w:lang w:val="en-US" w:eastAsia="zh-CN" w:bidi="ar-SA"/>
        </w:rPr>
      </w:pPr>
      <w:r>
        <w:rPr>
          <w:rFonts w:hint="eastAsia" w:eastAsia="宋体" w:cstheme="minorBidi"/>
          <w:sz w:val="22"/>
          <w:szCs w:val="22"/>
          <w:lang w:val="en-US" w:eastAsia="zh-CN" w:bidi="ar-SA"/>
        </w:rPr>
        <w:t>Before giving our view, we share some RAN1 agreements as background to this problem.</w:t>
      </w:r>
    </w:p>
    <w:tbl>
      <w:tblPr>
        <w:tblStyle w:val="19"/>
        <w:tblW w:w="93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0" w:type="dxa"/>
          </w:tcPr>
          <w:p>
            <w:pPr>
              <w:pStyle w:val="1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 w:firstLine="0"/>
              <w:rPr>
                <w:rFonts w:hint="eastAsia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00FF00"/>
              </w:rPr>
              <w:t>Agreement:</w:t>
            </w: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 (RAN1 #98bis, 1910)</w:t>
            </w:r>
          </w:p>
          <w:p>
            <w:pPr>
              <w:pStyle w:val="1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195" w:afterAutospacing="0" w:line="239" w:lineRule="atLeast"/>
              <w:ind w:left="0" w:right="0" w:firstLine="0"/>
              <w:jc w:val="both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For RRM measurements of a neighbor cell in IDLE, INACTIVE and CONNECTED UE states,</w:t>
            </w:r>
          </w:p>
          <w:p>
            <w:pPr>
              <w:pStyle w:val="1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195" w:afterAutospacing="0" w:line="239" w:lineRule="atLeast"/>
              <w:ind w:left="720" w:right="0" w:firstLine="0"/>
              <w:jc w:val="both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ascii="Symbol" w:hAnsi="Symbol" w:cs="Symbol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· </w:t>
            </w: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Support signaling of </w:t>
            </w: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00"/>
              </w:rPr>
              <w:t>a common Q value per frequency by broadcast RRC signaling (SIBx) and/or dedicated RRC signaling (measObjectNR) </w:t>
            </w: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from the serving cell.</w:t>
            </w:r>
          </w:p>
          <w:p>
            <w:pPr>
              <w:pStyle w:val="1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195" w:afterAutospacing="0" w:line="239" w:lineRule="atLeast"/>
              <w:ind w:left="720" w:right="0" w:firstLine="0"/>
              <w:jc w:val="both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default" w:ascii="Symbol" w:hAnsi="Symbol" w:cs="Symbol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00"/>
              </w:rPr>
              <w:t>· </w:t>
            </w: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00"/>
              </w:rPr>
              <w:t>Support signaling from the serving cell of a Q value for a listed neighbour cell.</w:t>
            </w:r>
          </w:p>
          <w:p>
            <w:pPr>
              <w:pStyle w:val="1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195" w:afterAutospacing="0" w:line="239" w:lineRule="atLeast"/>
              <w:ind w:left="1440" w:right="0" w:firstLine="0"/>
              <w:jc w:val="both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ascii="Courier New" w:hAnsi="Courier New" w:cs="Courier New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o </w:t>
            </w: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If Q is signaled for a listed cell, it overrides any common Q value per frequency</w:t>
            </w:r>
          </w:p>
          <w:p>
            <w:pPr>
              <w:pStyle w:val="1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0" w:right="0" w:firstLine="0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00FF00"/>
              </w:rPr>
              <w:t>Agreement:</w:t>
            </w:r>
          </w:p>
          <w:p>
            <w:pPr>
              <w:pStyle w:val="1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360" w:right="0" w:firstLine="0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default" w:ascii="Symbol" w:hAnsi="Symbol" w:cs="Symbol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· </w:t>
            </w: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No further down selection is made for set of Q values, i.e., Q = {1,2,4,8} (resolves FFS of prior agreement on Q values)</w:t>
            </w:r>
          </w:p>
          <w:p>
            <w:pPr>
              <w:pStyle w:val="1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720" w:right="0" w:firstLine="0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default" w:ascii="Symbol" w:hAnsi="Symbol" w:cs="Symbol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· </w:t>
            </w: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UE does not expect to be configured with two Type-0 PDCCH monitoring occasions in a slot with Q=1.</w:t>
            </w:r>
          </w:p>
          <w:p>
            <w:pPr>
              <w:pStyle w:val="1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720" w:right="0" w:firstLine="0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default" w:ascii="Symbol" w:hAnsi="Symbol" w:cs="Symbol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· </w:t>
            </w: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Note: This does not imply a change in Rel-15 behavior for Type-0 PDCCH monitoring in two consecutive slots.</w:t>
            </w:r>
          </w:p>
          <w:p>
            <w:pPr>
              <w:pStyle w:val="1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720" w:right="0" w:firstLine="0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default" w:ascii="Symbol" w:hAnsi="Symbol" w:cs="Symbol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· </w:t>
            </w: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Note: This agreement does not imply any changes to Rel-15 PDCCH monitoring requirements on BD/CCE limits per slot</w:t>
            </w:r>
          </w:p>
          <w:p>
            <w:pPr>
              <w:pStyle w:val="1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360" w:right="0" w:firstLine="0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default" w:ascii="Symbol" w:hAnsi="Symbol" w:cs="Symbol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00"/>
              </w:rPr>
              <w:t>· </w:t>
            </w: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00"/>
              </w:rPr>
              <w:t>RAN4 requirements for SSB detection during initial cell search should be defined assuming Q = 8. This assumption does not have any other specification impact.</w:t>
            </w:r>
          </w:p>
          <w:p>
            <w:pPr>
              <w:pStyle w:val="1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60" w:lineRule="atLeast"/>
              <w:ind w:left="1440" w:right="0" w:firstLine="0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default" w:ascii="Courier New" w:hAnsi="Courier New" w:cs="Courier New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o </w:t>
            </w: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Include this agreement in an LS to RAN4 asking them to take this into account. The LS should also provide an overview on the definition of Q.</w:t>
            </w:r>
          </w:p>
          <w:p>
            <w:pPr>
              <w:pStyle w:val="26"/>
              <w:spacing w:line="288" w:lineRule="auto"/>
              <w:ind w:left="0"/>
              <w:rPr>
                <w:lang w:eastAsia="zh-CN"/>
              </w:rPr>
            </w:pPr>
          </w:p>
          <w:p>
            <w:pPr>
              <w:pStyle w:val="1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195" w:afterAutospacing="0" w:line="239" w:lineRule="atLeast"/>
              <w:ind w:left="0" w:right="0" w:firstLine="0"/>
              <w:jc w:val="both"/>
              <w:rPr>
                <w:rFonts w:hint="eastAsia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00FF00"/>
              </w:rPr>
              <w:t>Agreement:</w:t>
            </w: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 (RAN1 #99)</w:t>
            </w:r>
          </w:p>
          <w:p>
            <w:pPr>
              <w:pStyle w:val="1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195" w:afterAutospacing="0" w:line="239" w:lineRule="atLeast"/>
              <w:ind w:left="0" w:right="0" w:firstLine="0"/>
              <w:jc w:val="both"/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The Q value signalled in system information for a serving cell is also used for RRM measurements on the serving cell.</w:t>
            </w:r>
          </w:p>
          <w:p>
            <w:pPr>
              <w:pStyle w:val="1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195" w:afterAutospacing="0" w:line="239" w:lineRule="atLeast"/>
              <w:ind w:left="0" w:right="0" w:firstLine="0"/>
              <w:jc w:val="both"/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</w:pPr>
          </w:p>
          <w:p>
            <w:pPr>
              <w:pStyle w:val="1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195" w:afterAutospacing="0" w:line="239" w:lineRule="atLeast"/>
              <w:ind w:left="0" w:right="0" w:firstLine="0"/>
              <w:jc w:val="both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00FF00"/>
              </w:rPr>
              <w:t>Agreement:</w:t>
            </w: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 (RAN1 #99)</w:t>
            </w:r>
          </w:p>
          <w:p>
            <w:pPr>
              <w:pStyle w:val="16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195" w:afterAutospacing="0" w:line="239" w:lineRule="atLeast"/>
              <w:ind w:left="0" w:right="0" w:firstLine="0"/>
              <w:jc w:val="both"/>
              <w:rPr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A serving cell can indicate Q via dedicated RRC signaling (e.g., for SCell or SCG addition).</w:t>
            </w:r>
          </w:p>
        </w:tc>
      </w:tr>
    </w:tbl>
    <w:p>
      <w:pPr>
        <w:rPr>
          <w:rFonts w:hint="eastAsia" w:eastAsia="宋体" w:cstheme="minorBidi"/>
          <w:sz w:val="22"/>
          <w:szCs w:val="22"/>
          <w:lang w:val="en-US" w:eastAsia="zh-CN" w:bidi="ar-SA"/>
        </w:rPr>
      </w:pPr>
      <w:r>
        <w:rPr>
          <w:rFonts w:hint="eastAsia" w:eastAsia="宋体" w:cstheme="minorBidi"/>
          <w:sz w:val="22"/>
          <w:szCs w:val="22"/>
          <w:lang w:val="en-US" w:eastAsia="zh-CN" w:bidi="ar-SA"/>
        </w:rPr>
        <w:t>Based on these RAN1 agreements, especially the ones highlighted in yellow, we believe that Q can be assumed to be known to the UE. Even if the value of Q is not signalled to the UE through broadcast RRC signalling, it</w:t>
      </w:r>
      <w:r>
        <w:rPr>
          <w:rFonts w:hint="default" w:eastAsia="宋体" w:cstheme="minorBidi"/>
          <w:sz w:val="22"/>
          <w:szCs w:val="22"/>
          <w:lang w:val="en-US" w:eastAsia="zh-CN" w:bidi="ar-SA"/>
        </w:rPr>
        <w:t>’</w:t>
      </w:r>
      <w:r>
        <w:rPr>
          <w:rFonts w:hint="eastAsia" w:eastAsia="宋体" w:cstheme="minorBidi"/>
          <w:sz w:val="22"/>
          <w:szCs w:val="22"/>
          <w:lang w:val="en-US" w:eastAsia="zh-CN" w:bidi="ar-SA"/>
        </w:rPr>
        <w:t>s RAN1 agreement that:</w:t>
      </w:r>
    </w:p>
    <w:p>
      <w:pPr>
        <w:rPr>
          <w:rFonts w:hint="default" w:eastAsia="宋体" w:cstheme="minorBidi"/>
          <w:sz w:val="22"/>
          <w:szCs w:val="22"/>
          <w:lang w:val="en-US" w:eastAsia="zh-CN" w:bidi="ar-SA"/>
        </w:rPr>
      </w:pPr>
      <w:r>
        <w:rPr>
          <w:rFonts w:hint="default" w:ascii="Times New Roman" w:hAnsi="Times New Roman" w:cs="Times New Roman"/>
          <w:b w:val="0"/>
          <w:i w:val="0"/>
          <w:caps w:val="0"/>
          <w:color w:val="000000"/>
          <w:spacing w:val="0"/>
          <w:sz w:val="21"/>
          <w:szCs w:val="21"/>
          <w:shd w:val="clear" w:fill="FFFF00"/>
        </w:rPr>
        <w:t xml:space="preserve">RAN4 requirements for SSB detection during initial cell search should be defined assuming Q = 8. </w:t>
      </w:r>
    </w:p>
    <w:p>
      <w:pPr>
        <w:rPr>
          <w:rFonts w:hint="default" w:eastAsia="宋体" w:cstheme="minorBidi"/>
          <w:sz w:val="22"/>
          <w:szCs w:val="22"/>
          <w:lang w:val="en-US" w:eastAsia="zh-CN" w:bidi="ar-SA"/>
        </w:rPr>
      </w:pPr>
      <w:r>
        <w:rPr>
          <w:rFonts w:hint="eastAsia" w:eastAsia="宋体" w:cstheme="minorBidi"/>
          <w:sz w:val="22"/>
          <w:szCs w:val="22"/>
          <w:lang w:val="en-US" w:eastAsia="zh-CN" w:bidi="ar-SA"/>
        </w:rPr>
        <w:t>In our view this statement should cover the case we</w:t>
      </w:r>
      <w:r>
        <w:rPr>
          <w:rFonts w:hint="default" w:eastAsia="宋体" w:cstheme="minorBidi"/>
          <w:sz w:val="22"/>
          <w:szCs w:val="22"/>
          <w:lang w:val="en-US" w:eastAsia="zh-CN" w:bidi="ar-SA"/>
        </w:rPr>
        <w:t>’</w:t>
      </w:r>
      <w:r>
        <w:rPr>
          <w:rFonts w:hint="eastAsia" w:eastAsia="宋体" w:cstheme="minorBidi"/>
          <w:sz w:val="22"/>
          <w:szCs w:val="22"/>
          <w:lang w:val="en-US" w:eastAsia="zh-CN" w:bidi="ar-SA"/>
        </w:rPr>
        <w:t>re discussing now. Even if under some occasions, the UE doesn</w:t>
      </w:r>
      <w:r>
        <w:rPr>
          <w:rFonts w:hint="default" w:eastAsia="宋体" w:cstheme="minorBidi"/>
          <w:sz w:val="22"/>
          <w:szCs w:val="22"/>
          <w:lang w:val="en-US" w:eastAsia="zh-CN" w:bidi="ar-SA"/>
        </w:rPr>
        <w:t>’</w:t>
      </w:r>
      <w:r>
        <w:rPr>
          <w:rFonts w:hint="eastAsia" w:eastAsia="宋体" w:cstheme="minorBidi"/>
          <w:sz w:val="22"/>
          <w:szCs w:val="22"/>
          <w:lang w:val="en-US" w:eastAsia="zh-CN" w:bidi="ar-SA"/>
        </w:rPr>
        <w:t>t receive the broadcast successfully, it should assume Q = 8. Thus, we propose that Q can be assumed to be always known to the UE.</w:t>
      </w:r>
    </w:p>
    <w:p>
      <w:pPr>
        <w:pStyle w:val="36"/>
        <w:rPr>
          <w:rFonts w:hint="default"/>
          <w:sz w:val="22"/>
          <w:szCs w:val="22"/>
          <w:lang w:val="en-US" w:eastAsia="zh-CN"/>
        </w:rPr>
      </w:pPr>
      <w:r>
        <w:rPr>
          <w:rFonts w:hint="eastAsia" w:eastAsia="宋体" w:cstheme="minorBidi"/>
          <w:sz w:val="22"/>
          <w:szCs w:val="22"/>
          <w:lang w:val="en-US" w:eastAsia="zh-CN" w:bidi="ar-SA"/>
        </w:rPr>
        <w:t>Q can be assumed to be always known to the UE</w:t>
      </w:r>
      <w:r>
        <w:rPr>
          <w:rFonts w:hint="eastAsia" w:eastAsia="宋体" w:cs="v4.2.0"/>
          <w:sz w:val="22"/>
          <w:szCs w:val="22"/>
          <w:vertAlign w:val="baseline"/>
          <w:lang w:val="en-US" w:eastAsia="zh-CN"/>
        </w:rPr>
        <w:t>.</w:t>
      </w:r>
    </w:p>
    <w:p>
      <w:pPr>
        <w:pStyle w:val="28"/>
        <w:jc w:val="both"/>
      </w:pPr>
      <w:r>
        <w:rPr>
          <w:rFonts w:hint="eastAsia"/>
          <w:lang w:val="en-US" w:eastAsia="zh-CN"/>
        </w:rPr>
        <w:t>3</w:t>
      </w:r>
      <w:r>
        <w:tab/>
      </w:r>
      <w:r>
        <w:t>Conclusion</w:t>
      </w:r>
    </w:p>
    <w:p>
      <w:pPr>
        <w:pStyle w:val="36"/>
        <w:numPr>
          <w:ilvl w:val="0"/>
          <w:numId w:val="0"/>
        </w:numPr>
        <w:ind w:leftChars="0"/>
        <w:rPr>
          <w:rFonts w:hint="default"/>
          <w:b/>
          <w:bCs w:val="0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 xml:space="preserve">Proposal 1: </w:t>
      </w:r>
      <w:r>
        <w:rPr>
          <w:rFonts w:hint="eastAsia" w:eastAsia="宋体" w:cstheme="minorBidi"/>
          <w:sz w:val="22"/>
          <w:szCs w:val="22"/>
          <w:lang w:val="en-US" w:eastAsia="zh-CN" w:bidi="ar-SA"/>
        </w:rPr>
        <w:t>Q can be assumed to be always known to the UE</w:t>
      </w:r>
      <w:r>
        <w:rPr>
          <w:rFonts w:hint="eastAsia" w:eastAsia="宋体" w:cs="v4.2.0"/>
          <w:b/>
          <w:bCs w:val="0"/>
          <w:sz w:val="22"/>
          <w:szCs w:val="22"/>
          <w:vertAlign w:val="baseline"/>
          <w:lang w:val="en-US" w:eastAsia="zh-CN"/>
        </w:rPr>
        <w:t>.</w:t>
      </w:r>
    </w:p>
    <w:p>
      <w:pPr>
        <w:pStyle w:val="28"/>
        <w:jc w:val="both"/>
      </w:pPr>
      <w:r>
        <w:t>References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>
        <w:rPr>
          <w:rFonts w:hint="eastAsia"/>
          <w:lang w:val="en-GB"/>
        </w:rPr>
        <w:t>R4-2002278</w:t>
      </w:r>
      <w:r>
        <w:rPr>
          <w:rFonts w:hint="eastAsia" w:eastAsia="宋体"/>
          <w:lang w:val="en-US" w:eastAsia="zh-CN"/>
        </w:rPr>
        <w:t>, WF on NR-U RRM requirements (Part 3)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>
        <w:rPr>
          <w:rFonts w:hint="eastAsia"/>
          <w:lang w:val="en-GB"/>
        </w:rPr>
        <w:t>R4-20</w:t>
      </w:r>
      <w:r>
        <w:rPr>
          <w:rFonts w:hint="eastAsia" w:eastAsia="宋体"/>
          <w:lang w:val="en-US" w:eastAsia="zh-CN"/>
        </w:rPr>
        <w:t>05375</w:t>
      </w:r>
      <w:bookmarkStart w:id="5" w:name="_GoBack"/>
      <w:bookmarkEnd w:id="5"/>
      <w:r>
        <w:rPr>
          <w:rFonts w:hint="eastAsia" w:eastAsia="宋体"/>
          <w:lang w:val="en-US" w:eastAsia="zh-CN"/>
        </w:rPr>
        <w:t>, WF on NR-U RRM requirements (Part 3)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>
      <w:pgSz w:w="11907" w:h="16840"/>
      <w:pgMar w:top="1412" w:right="1140" w:bottom="1140" w:left="1140" w:header="680" w:footer="56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63E"/>
    <w:multiLevelType w:val="multilevel"/>
    <w:tmpl w:val="05A4163E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B43B9D"/>
    <w:multiLevelType w:val="multilevel"/>
    <w:tmpl w:val="46B43B9D"/>
    <w:lvl w:ilvl="0" w:tentative="0">
      <w:start w:val="1"/>
      <w:numFmt w:val="decimal"/>
      <w:pStyle w:val="30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36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A44281"/>
    <w:multiLevelType w:val="multilevel"/>
    <w:tmpl w:val="4DA44281"/>
    <w:lvl w:ilvl="0" w:tentative="0">
      <w:start w:val="1"/>
      <w:numFmt w:val="decimal"/>
      <w:pStyle w:val="32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F44A7"/>
    <w:multiLevelType w:val="multilevel"/>
    <w:tmpl w:val="521F44A7"/>
    <w:lvl w:ilvl="0" w:tentative="0">
      <w:start w:val="1"/>
      <w:numFmt w:val="bullet"/>
      <w:pStyle w:val="51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47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24821"/>
    <w:rsid w:val="00041534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C2D19"/>
    <w:rsid w:val="002C4FA4"/>
    <w:rsid w:val="002C54F8"/>
    <w:rsid w:val="002D0A10"/>
    <w:rsid w:val="002D10FA"/>
    <w:rsid w:val="002D4C55"/>
    <w:rsid w:val="00303EDF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1102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6E368C"/>
    <w:rsid w:val="017B5E4B"/>
    <w:rsid w:val="018D054D"/>
    <w:rsid w:val="01FF08B3"/>
    <w:rsid w:val="02B274E2"/>
    <w:rsid w:val="02C25D33"/>
    <w:rsid w:val="03C6506D"/>
    <w:rsid w:val="03F37217"/>
    <w:rsid w:val="04C77D0A"/>
    <w:rsid w:val="04D5204C"/>
    <w:rsid w:val="04DF7A11"/>
    <w:rsid w:val="059B61E4"/>
    <w:rsid w:val="05A86143"/>
    <w:rsid w:val="06105DAC"/>
    <w:rsid w:val="069766CC"/>
    <w:rsid w:val="073B0F19"/>
    <w:rsid w:val="07502CA2"/>
    <w:rsid w:val="078B76F8"/>
    <w:rsid w:val="079D410C"/>
    <w:rsid w:val="080661C8"/>
    <w:rsid w:val="08641205"/>
    <w:rsid w:val="08663678"/>
    <w:rsid w:val="0868025F"/>
    <w:rsid w:val="0873226E"/>
    <w:rsid w:val="08935729"/>
    <w:rsid w:val="08BE1B81"/>
    <w:rsid w:val="08C654D4"/>
    <w:rsid w:val="08CC5D10"/>
    <w:rsid w:val="091253E0"/>
    <w:rsid w:val="092C45E6"/>
    <w:rsid w:val="099F556C"/>
    <w:rsid w:val="09C640C3"/>
    <w:rsid w:val="0A5763D4"/>
    <w:rsid w:val="0A7BF868"/>
    <w:rsid w:val="0B2F05F5"/>
    <w:rsid w:val="0B7322DC"/>
    <w:rsid w:val="0BB77882"/>
    <w:rsid w:val="0C3C5307"/>
    <w:rsid w:val="0C56263C"/>
    <w:rsid w:val="0C5E2B8A"/>
    <w:rsid w:val="0D102274"/>
    <w:rsid w:val="0DA958CA"/>
    <w:rsid w:val="0DF104D3"/>
    <w:rsid w:val="0DFD5E7B"/>
    <w:rsid w:val="0E1C586B"/>
    <w:rsid w:val="0E5237AB"/>
    <w:rsid w:val="0ED138E6"/>
    <w:rsid w:val="0EED584B"/>
    <w:rsid w:val="0F67780F"/>
    <w:rsid w:val="0F8F3C2A"/>
    <w:rsid w:val="0FB648CB"/>
    <w:rsid w:val="0FD0731A"/>
    <w:rsid w:val="0FF1533A"/>
    <w:rsid w:val="0FFE0AFA"/>
    <w:rsid w:val="100578DD"/>
    <w:rsid w:val="10AA3C13"/>
    <w:rsid w:val="10CD0B75"/>
    <w:rsid w:val="110C4D24"/>
    <w:rsid w:val="122017FC"/>
    <w:rsid w:val="128409CA"/>
    <w:rsid w:val="12BB3A94"/>
    <w:rsid w:val="12EF585C"/>
    <w:rsid w:val="13262572"/>
    <w:rsid w:val="136D11EC"/>
    <w:rsid w:val="137D50D6"/>
    <w:rsid w:val="139B3B65"/>
    <w:rsid w:val="13D36053"/>
    <w:rsid w:val="13F75352"/>
    <w:rsid w:val="1480544B"/>
    <w:rsid w:val="14B36B91"/>
    <w:rsid w:val="164F667E"/>
    <w:rsid w:val="165D0583"/>
    <w:rsid w:val="16654289"/>
    <w:rsid w:val="16B43332"/>
    <w:rsid w:val="16DB79C9"/>
    <w:rsid w:val="170A55AB"/>
    <w:rsid w:val="17141F2D"/>
    <w:rsid w:val="17A076C4"/>
    <w:rsid w:val="17A62BCE"/>
    <w:rsid w:val="17E826AB"/>
    <w:rsid w:val="186E3DFF"/>
    <w:rsid w:val="18AE3135"/>
    <w:rsid w:val="18D3414F"/>
    <w:rsid w:val="18D91924"/>
    <w:rsid w:val="18E7333F"/>
    <w:rsid w:val="19A96435"/>
    <w:rsid w:val="1A0B3A21"/>
    <w:rsid w:val="1B3329B5"/>
    <w:rsid w:val="1B7F155B"/>
    <w:rsid w:val="1BEE71E3"/>
    <w:rsid w:val="1C1448F9"/>
    <w:rsid w:val="1C3D6DD1"/>
    <w:rsid w:val="1C6A6128"/>
    <w:rsid w:val="1D1F1294"/>
    <w:rsid w:val="1D3267EF"/>
    <w:rsid w:val="1E8806BC"/>
    <w:rsid w:val="1EA137E3"/>
    <w:rsid w:val="1F0936F5"/>
    <w:rsid w:val="1F17474D"/>
    <w:rsid w:val="1F2B10F9"/>
    <w:rsid w:val="1F711839"/>
    <w:rsid w:val="1FB94546"/>
    <w:rsid w:val="200D067C"/>
    <w:rsid w:val="20811B82"/>
    <w:rsid w:val="20A662B2"/>
    <w:rsid w:val="21091739"/>
    <w:rsid w:val="211451D0"/>
    <w:rsid w:val="2151075A"/>
    <w:rsid w:val="219E74A3"/>
    <w:rsid w:val="220539DF"/>
    <w:rsid w:val="22571B82"/>
    <w:rsid w:val="22920D1D"/>
    <w:rsid w:val="22C0245E"/>
    <w:rsid w:val="23514077"/>
    <w:rsid w:val="23855295"/>
    <w:rsid w:val="23B20773"/>
    <w:rsid w:val="23CF6D67"/>
    <w:rsid w:val="244A4DE5"/>
    <w:rsid w:val="24731783"/>
    <w:rsid w:val="248F188B"/>
    <w:rsid w:val="24E91488"/>
    <w:rsid w:val="24FC3902"/>
    <w:rsid w:val="25077EC5"/>
    <w:rsid w:val="25151459"/>
    <w:rsid w:val="25962669"/>
    <w:rsid w:val="25C20278"/>
    <w:rsid w:val="262D62D9"/>
    <w:rsid w:val="26681CAB"/>
    <w:rsid w:val="267E5FCE"/>
    <w:rsid w:val="274858B7"/>
    <w:rsid w:val="27572E0B"/>
    <w:rsid w:val="280C272A"/>
    <w:rsid w:val="28352D10"/>
    <w:rsid w:val="284E0592"/>
    <w:rsid w:val="284E33F7"/>
    <w:rsid w:val="287A3770"/>
    <w:rsid w:val="28D15232"/>
    <w:rsid w:val="291D6A72"/>
    <w:rsid w:val="293606FA"/>
    <w:rsid w:val="29517179"/>
    <w:rsid w:val="29E7086A"/>
    <w:rsid w:val="2A1219AD"/>
    <w:rsid w:val="2A394321"/>
    <w:rsid w:val="2AE26D3F"/>
    <w:rsid w:val="2AF8774D"/>
    <w:rsid w:val="2B0F6E62"/>
    <w:rsid w:val="2B1014DB"/>
    <w:rsid w:val="2B4E55E6"/>
    <w:rsid w:val="2B7579C5"/>
    <w:rsid w:val="2BB04900"/>
    <w:rsid w:val="2BCD64C2"/>
    <w:rsid w:val="2C3A3275"/>
    <w:rsid w:val="2C495744"/>
    <w:rsid w:val="2CAF041D"/>
    <w:rsid w:val="2CEE6B8D"/>
    <w:rsid w:val="2D0F62B6"/>
    <w:rsid w:val="2D233DAE"/>
    <w:rsid w:val="2D8E403A"/>
    <w:rsid w:val="2DA90891"/>
    <w:rsid w:val="2E0770FA"/>
    <w:rsid w:val="2E145F76"/>
    <w:rsid w:val="2E794887"/>
    <w:rsid w:val="2EA86D09"/>
    <w:rsid w:val="2F32226B"/>
    <w:rsid w:val="2F376D10"/>
    <w:rsid w:val="2FA231C5"/>
    <w:rsid w:val="3005182A"/>
    <w:rsid w:val="301D3582"/>
    <w:rsid w:val="30582389"/>
    <w:rsid w:val="308B65F2"/>
    <w:rsid w:val="3105629B"/>
    <w:rsid w:val="3117229F"/>
    <w:rsid w:val="31395268"/>
    <w:rsid w:val="315166FC"/>
    <w:rsid w:val="31950F1B"/>
    <w:rsid w:val="31A50177"/>
    <w:rsid w:val="320F0A18"/>
    <w:rsid w:val="32351CB2"/>
    <w:rsid w:val="324554E5"/>
    <w:rsid w:val="325D2B5A"/>
    <w:rsid w:val="327661FC"/>
    <w:rsid w:val="3288676B"/>
    <w:rsid w:val="32B33B5A"/>
    <w:rsid w:val="32EE27B2"/>
    <w:rsid w:val="330120D5"/>
    <w:rsid w:val="33245EFA"/>
    <w:rsid w:val="33372789"/>
    <w:rsid w:val="333876C2"/>
    <w:rsid w:val="33484A1E"/>
    <w:rsid w:val="335F47E9"/>
    <w:rsid w:val="346E4104"/>
    <w:rsid w:val="3476470C"/>
    <w:rsid w:val="34D83C16"/>
    <w:rsid w:val="3509315E"/>
    <w:rsid w:val="351A4CC6"/>
    <w:rsid w:val="35B01049"/>
    <w:rsid w:val="36522CDC"/>
    <w:rsid w:val="37705F34"/>
    <w:rsid w:val="377700B0"/>
    <w:rsid w:val="37846083"/>
    <w:rsid w:val="37915301"/>
    <w:rsid w:val="37AF7036"/>
    <w:rsid w:val="37E00E7E"/>
    <w:rsid w:val="37E726D4"/>
    <w:rsid w:val="380927B5"/>
    <w:rsid w:val="3876150B"/>
    <w:rsid w:val="392739EA"/>
    <w:rsid w:val="392D38AD"/>
    <w:rsid w:val="3946679B"/>
    <w:rsid w:val="394E6C1D"/>
    <w:rsid w:val="399A43EA"/>
    <w:rsid w:val="39AF2187"/>
    <w:rsid w:val="3A0F1960"/>
    <w:rsid w:val="3A166029"/>
    <w:rsid w:val="3A364B42"/>
    <w:rsid w:val="3AF216E5"/>
    <w:rsid w:val="3B30671A"/>
    <w:rsid w:val="3B5662AC"/>
    <w:rsid w:val="3B7E3F16"/>
    <w:rsid w:val="3BA205A3"/>
    <w:rsid w:val="3C020C60"/>
    <w:rsid w:val="3C271B40"/>
    <w:rsid w:val="3C727D51"/>
    <w:rsid w:val="3C802C1E"/>
    <w:rsid w:val="3CCE203C"/>
    <w:rsid w:val="3D0C1655"/>
    <w:rsid w:val="3D4E48C8"/>
    <w:rsid w:val="3D77737D"/>
    <w:rsid w:val="3DB81487"/>
    <w:rsid w:val="3DC04E13"/>
    <w:rsid w:val="3DD244E7"/>
    <w:rsid w:val="3E1907C2"/>
    <w:rsid w:val="3E5B41D6"/>
    <w:rsid w:val="3ECE16FA"/>
    <w:rsid w:val="3F072EB0"/>
    <w:rsid w:val="3FB43586"/>
    <w:rsid w:val="3FF55768"/>
    <w:rsid w:val="3FFA7D08"/>
    <w:rsid w:val="40566CBF"/>
    <w:rsid w:val="405B0BEF"/>
    <w:rsid w:val="407921CE"/>
    <w:rsid w:val="408E2AD7"/>
    <w:rsid w:val="40C04FE0"/>
    <w:rsid w:val="41AA7137"/>
    <w:rsid w:val="41EC58FB"/>
    <w:rsid w:val="42153718"/>
    <w:rsid w:val="42381A71"/>
    <w:rsid w:val="426B0C9E"/>
    <w:rsid w:val="42841694"/>
    <w:rsid w:val="429266C7"/>
    <w:rsid w:val="42AF1322"/>
    <w:rsid w:val="42B30ACF"/>
    <w:rsid w:val="42E73C10"/>
    <w:rsid w:val="430903EA"/>
    <w:rsid w:val="432969A7"/>
    <w:rsid w:val="43901FC8"/>
    <w:rsid w:val="43EE582E"/>
    <w:rsid w:val="43FB3DA4"/>
    <w:rsid w:val="44022066"/>
    <w:rsid w:val="441C4006"/>
    <w:rsid w:val="4451437F"/>
    <w:rsid w:val="44707FDB"/>
    <w:rsid w:val="449E489D"/>
    <w:rsid w:val="44B24294"/>
    <w:rsid w:val="451019FB"/>
    <w:rsid w:val="455B13AC"/>
    <w:rsid w:val="45CF3CD0"/>
    <w:rsid w:val="460567D8"/>
    <w:rsid w:val="462E320B"/>
    <w:rsid w:val="462F25DF"/>
    <w:rsid w:val="46620161"/>
    <w:rsid w:val="47C304FD"/>
    <w:rsid w:val="47C357A6"/>
    <w:rsid w:val="47D77F02"/>
    <w:rsid w:val="487C3875"/>
    <w:rsid w:val="48977283"/>
    <w:rsid w:val="48D24B96"/>
    <w:rsid w:val="48FA3778"/>
    <w:rsid w:val="49896512"/>
    <w:rsid w:val="4996414B"/>
    <w:rsid w:val="49BA3D71"/>
    <w:rsid w:val="49DA5E42"/>
    <w:rsid w:val="4A5C70F1"/>
    <w:rsid w:val="4AB61A05"/>
    <w:rsid w:val="4AD13EA9"/>
    <w:rsid w:val="4AF26B9D"/>
    <w:rsid w:val="4BB65435"/>
    <w:rsid w:val="4BCE1489"/>
    <w:rsid w:val="4BEA1EE4"/>
    <w:rsid w:val="4BFB2D49"/>
    <w:rsid w:val="4C293566"/>
    <w:rsid w:val="4C2E5FC9"/>
    <w:rsid w:val="4C723787"/>
    <w:rsid w:val="4CF05EAC"/>
    <w:rsid w:val="4D102CB4"/>
    <w:rsid w:val="4D8E1BE9"/>
    <w:rsid w:val="4D9E609E"/>
    <w:rsid w:val="4E0243C8"/>
    <w:rsid w:val="4EA61F19"/>
    <w:rsid w:val="4EB053BD"/>
    <w:rsid w:val="4EF8450A"/>
    <w:rsid w:val="4F150B2F"/>
    <w:rsid w:val="4F775423"/>
    <w:rsid w:val="4FBC6FAF"/>
    <w:rsid w:val="4FDC68F3"/>
    <w:rsid w:val="50005DA1"/>
    <w:rsid w:val="502A6272"/>
    <w:rsid w:val="5041435B"/>
    <w:rsid w:val="50564CCA"/>
    <w:rsid w:val="505A1CB0"/>
    <w:rsid w:val="509778C7"/>
    <w:rsid w:val="50E55198"/>
    <w:rsid w:val="51773E2A"/>
    <w:rsid w:val="51C53170"/>
    <w:rsid w:val="5280421D"/>
    <w:rsid w:val="52BF27F0"/>
    <w:rsid w:val="52FC10E1"/>
    <w:rsid w:val="535E62F0"/>
    <w:rsid w:val="5361709F"/>
    <w:rsid w:val="53705401"/>
    <w:rsid w:val="53752E8D"/>
    <w:rsid w:val="537755FB"/>
    <w:rsid w:val="53832E83"/>
    <w:rsid w:val="53C44BEA"/>
    <w:rsid w:val="53D45151"/>
    <w:rsid w:val="540D782C"/>
    <w:rsid w:val="542835DF"/>
    <w:rsid w:val="542F1421"/>
    <w:rsid w:val="544B51D2"/>
    <w:rsid w:val="544D013B"/>
    <w:rsid w:val="546C32BA"/>
    <w:rsid w:val="54AC4862"/>
    <w:rsid w:val="54D53DDB"/>
    <w:rsid w:val="55352F87"/>
    <w:rsid w:val="5553143F"/>
    <w:rsid w:val="55B42DC5"/>
    <w:rsid w:val="55CC7E5B"/>
    <w:rsid w:val="568F7E77"/>
    <w:rsid w:val="56C13DAD"/>
    <w:rsid w:val="56E81135"/>
    <w:rsid w:val="57622135"/>
    <w:rsid w:val="57895FC5"/>
    <w:rsid w:val="584947AF"/>
    <w:rsid w:val="586B2608"/>
    <w:rsid w:val="58E20C36"/>
    <w:rsid w:val="592C32D1"/>
    <w:rsid w:val="592D7AE2"/>
    <w:rsid w:val="593554F0"/>
    <w:rsid w:val="5A3078C5"/>
    <w:rsid w:val="5AAC4CA7"/>
    <w:rsid w:val="5ACA11F3"/>
    <w:rsid w:val="5ADF3A74"/>
    <w:rsid w:val="5AE53367"/>
    <w:rsid w:val="5B0B0083"/>
    <w:rsid w:val="5BC0364C"/>
    <w:rsid w:val="5BC3228B"/>
    <w:rsid w:val="5C3B1FEA"/>
    <w:rsid w:val="5C6A01BF"/>
    <w:rsid w:val="5C79266D"/>
    <w:rsid w:val="5CE024D4"/>
    <w:rsid w:val="5CF62A1F"/>
    <w:rsid w:val="5D041ECD"/>
    <w:rsid w:val="5D350598"/>
    <w:rsid w:val="5E2D4C21"/>
    <w:rsid w:val="5EE41E2E"/>
    <w:rsid w:val="5F0F00DA"/>
    <w:rsid w:val="60017F85"/>
    <w:rsid w:val="6045086B"/>
    <w:rsid w:val="60727CA6"/>
    <w:rsid w:val="60745B63"/>
    <w:rsid w:val="61051332"/>
    <w:rsid w:val="613A62EF"/>
    <w:rsid w:val="61FB2024"/>
    <w:rsid w:val="61FD6095"/>
    <w:rsid w:val="62302F88"/>
    <w:rsid w:val="62812953"/>
    <w:rsid w:val="62B37B93"/>
    <w:rsid w:val="62B7743E"/>
    <w:rsid w:val="63D951AB"/>
    <w:rsid w:val="64116858"/>
    <w:rsid w:val="648D5222"/>
    <w:rsid w:val="64B2258D"/>
    <w:rsid w:val="65997784"/>
    <w:rsid w:val="65C64C37"/>
    <w:rsid w:val="661E18B5"/>
    <w:rsid w:val="665D5332"/>
    <w:rsid w:val="66AB371C"/>
    <w:rsid w:val="66AE1192"/>
    <w:rsid w:val="66C26880"/>
    <w:rsid w:val="66CA69C3"/>
    <w:rsid w:val="67DA4215"/>
    <w:rsid w:val="67E42DFA"/>
    <w:rsid w:val="680A09E1"/>
    <w:rsid w:val="6860443E"/>
    <w:rsid w:val="68EB3ADC"/>
    <w:rsid w:val="69462386"/>
    <w:rsid w:val="6A7016FE"/>
    <w:rsid w:val="6AB80C9A"/>
    <w:rsid w:val="6AFC6812"/>
    <w:rsid w:val="6B471B37"/>
    <w:rsid w:val="6B5E2EC6"/>
    <w:rsid w:val="6C42065A"/>
    <w:rsid w:val="6C6F44FD"/>
    <w:rsid w:val="6CD4731D"/>
    <w:rsid w:val="6D121910"/>
    <w:rsid w:val="6D3205F0"/>
    <w:rsid w:val="6DB702B4"/>
    <w:rsid w:val="6E504618"/>
    <w:rsid w:val="6EB20078"/>
    <w:rsid w:val="6F5579D7"/>
    <w:rsid w:val="6F801AF8"/>
    <w:rsid w:val="6F8D5AAE"/>
    <w:rsid w:val="6FFF59CB"/>
    <w:rsid w:val="70160759"/>
    <w:rsid w:val="70200B37"/>
    <w:rsid w:val="7037013D"/>
    <w:rsid w:val="704E4A67"/>
    <w:rsid w:val="70995673"/>
    <w:rsid w:val="70AA0AC2"/>
    <w:rsid w:val="70C323F9"/>
    <w:rsid w:val="70EA7511"/>
    <w:rsid w:val="71143E21"/>
    <w:rsid w:val="71207785"/>
    <w:rsid w:val="72867A39"/>
    <w:rsid w:val="72E2440A"/>
    <w:rsid w:val="72EE3608"/>
    <w:rsid w:val="7327462F"/>
    <w:rsid w:val="732F59FD"/>
    <w:rsid w:val="73373876"/>
    <w:rsid w:val="734B5574"/>
    <w:rsid w:val="7355417D"/>
    <w:rsid w:val="736C3FBB"/>
    <w:rsid w:val="73A85DC8"/>
    <w:rsid w:val="73C32C41"/>
    <w:rsid w:val="73C91EB3"/>
    <w:rsid w:val="74265F2E"/>
    <w:rsid w:val="74573DE9"/>
    <w:rsid w:val="749638EE"/>
    <w:rsid w:val="749900DE"/>
    <w:rsid w:val="749E6443"/>
    <w:rsid w:val="74D53B99"/>
    <w:rsid w:val="75160EB1"/>
    <w:rsid w:val="754C1AAF"/>
    <w:rsid w:val="76991F3B"/>
    <w:rsid w:val="76D8737F"/>
    <w:rsid w:val="76E279D7"/>
    <w:rsid w:val="772E0626"/>
    <w:rsid w:val="7752184A"/>
    <w:rsid w:val="7754709D"/>
    <w:rsid w:val="776E285A"/>
    <w:rsid w:val="779E3171"/>
    <w:rsid w:val="77B02D8D"/>
    <w:rsid w:val="77C0093D"/>
    <w:rsid w:val="77C90B9C"/>
    <w:rsid w:val="77F06999"/>
    <w:rsid w:val="78384CBC"/>
    <w:rsid w:val="784258BF"/>
    <w:rsid w:val="793758F2"/>
    <w:rsid w:val="79DC6C3F"/>
    <w:rsid w:val="79ED4DBE"/>
    <w:rsid w:val="7A250260"/>
    <w:rsid w:val="7A787ECB"/>
    <w:rsid w:val="7A8B51CB"/>
    <w:rsid w:val="7AB507FA"/>
    <w:rsid w:val="7AC634CB"/>
    <w:rsid w:val="7C3A7105"/>
    <w:rsid w:val="7C41564D"/>
    <w:rsid w:val="7C8E16C9"/>
    <w:rsid w:val="7CB561C0"/>
    <w:rsid w:val="7CCC277F"/>
    <w:rsid w:val="7CE3033A"/>
    <w:rsid w:val="7D0A2590"/>
    <w:rsid w:val="7D182884"/>
    <w:rsid w:val="7D314581"/>
    <w:rsid w:val="7D54493D"/>
    <w:rsid w:val="7D550752"/>
    <w:rsid w:val="7D6A7A29"/>
    <w:rsid w:val="7DCC5A45"/>
    <w:rsid w:val="7E8B6D0C"/>
    <w:rsid w:val="7E9E065C"/>
    <w:rsid w:val="7F285EA4"/>
    <w:rsid w:val="7F400D9D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uiPriority="99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0"/>
      <w:szCs w:val="22"/>
      <w:lang w:val="en-US" w:eastAsia="en-US" w:bidi="ar-SA"/>
    </w:rPr>
  </w:style>
  <w:style w:type="paragraph" w:styleId="2">
    <w:name w:val="heading 1"/>
    <w:basedOn w:val="1"/>
    <w:next w:val="1"/>
    <w:link w:val="25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4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3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38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7">
    <w:name w:val="annotation text"/>
    <w:basedOn w:val="1"/>
    <w:link w:val="58"/>
    <w:semiHidden/>
    <w:unhideWhenUsed/>
    <w:qFormat/>
    <w:uiPriority w:val="99"/>
    <w:pPr>
      <w:spacing w:line="240" w:lineRule="auto"/>
    </w:pPr>
    <w:rPr>
      <w:szCs w:val="20"/>
    </w:rPr>
  </w:style>
  <w:style w:type="paragraph" w:styleId="8">
    <w:name w:val="Body Text"/>
    <w:basedOn w:val="1"/>
    <w:link w:val="46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9">
    <w:name w:val="List 2"/>
    <w:basedOn w:val="10"/>
    <w:semiHidden/>
    <w:unhideWhenUsed/>
    <w:qFormat/>
    <w:uiPriority w:val="99"/>
    <w:pPr>
      <w:ind w:left="566" w:hanging="283"/>
      <w:contextualSpacing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Balloon Text"/>
    <w:basedOn w:val="1"/>
    <w:link w:val="55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2">
    <w:name w:val="header"/>
    <w:basedOn w:val="1"/>
    <w:link w:val="53"/>
    <w:semiHidden/>
    <w:unhideWhenUsed/>
    <w:qFormat/>
    <w:uiPriority w:val="0"/>
    <w:pPr>
      <w:widowControl w:val="0"/>
      <w:spacing w:after="0" w:line="240" w:lineRule="auto"/>
    </w:pPr>
    <w:rPr>
      <w:rFonts w:ascii="Tms Rmn" w:hAnsi="Tms Rmn" w:eastAsiaTheme="minorHAnsi" w:cstheme="minorBidi"/>
      <w:b/>
      <w:sz w:val="18"/>
      <w:szCs w:val="22"/>
      <w:lang w:val="en-US" w:eastAsia="en-US" w:bidi="ar-SA"/>
    </w:rPr>
  </w:style>
  <w:style w:type="paragraph" w:styleId="13">
    <w:name w:val="toc 1"/>
    <w:basedOn w:val="1"/>
    <w:next w:val="1"/>
    <w:unhideWhenUsed/>
    <w:qFormat/>
    <w:uiPriority w:val="39"/>
    <w:pPr>
      <w:spacing w:after="100"/>
    </w:pPr>
  </w:style>
  <w:style w:type="paragraph" w:styleId="14">
    <w:name w:val="table of figures"/>
    <w:basedOn w:val="1"/>
    <w:next w:val="1"/>
    <w:unhideWhenUsed/>
    <w:qFormat/>
    <w:uiPriority w:val="99"/>
    <w:pPr>
      <w:spacing w:after="0"/>
    </w:pPr>
  </w:style>
  <w:style w:type="paragraph" w:styleId="15">
    <w:name w:val="toc 2"/>
    <w:basedOn w:val="1"/>
    <w:next w:val="1"/>
    <w:unhideWhenUsed/>
    <w:qFormat/>
    <w:uiPriority w:val="39"/>
    <w:pPr>
      <w:spacing w:after="100"/>
      <w:ind w:left="200"/>
    </w:pPr>
  </w:style>
  <w:style w:type="paragraph" w:styleId="1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7">
    <w:name w:val="annotation subject"/>
    <w:basedOn w:val="7"/>
    <w:next w:val="7"/>
    <w:link w:val="59"/>
    <w:semiHidden/>
    <w:unhideWhenUsed/>
    <w:qFormat/>
    <w:uiPriority w:val="99"/>
    <w:rPr>
      <w:b/>
      <w:bCs/>
    </w:rPr>
  </w:style>
  <w:style w:type="table" w:styleId="19">
    <w:name w:val="Table Grid"/>
    <w:basedOn w:val="18"/>
    <w:qFormat/>
    <w:uiPriority w:val="39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21">
    <w:name w:val="FollowedHyperlink"/>
    <w:basedOn w:val="20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2">
    <w:name w:val="Hyperlink"/>
    <w:basedOn w:val="2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3">
    <w:name w:val="annotation reference"/>
    <w:basedOn w:val="20"/>
    <w:semiHidden/>
    <w:unhideWhenUsed/>
    <w:qFormat/>
    <w:uiPriority w:val="99"/>
    <w:rPr>
      <w:sz w:val="16"/>
      <w:szCs w:val="16"/>
    </w:rPr>
  </w:style>
  <w:style w:type="character" w:customStyle="1" w:styleId="24">
    <w:name w:val="Heading 2 Char"/>
    <w:basedOn w:val="20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5">
    <w:name w:val="Heading 1 Char"/>
    <w:basedOn w:val="20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6">
    <w:name w:val="List Paragraph"/>
    <w:basedOn w:val="1"/>
    <w:link w:val="33"/>
    <w:qFormat/>
    <w:uiPriority w:val="34"/>
    <w:pPr>
      <w:ind w:left="720"/>
      <w:contextualSpacing/>
    </w:pPr>
  </w:style>
  <w:style w:type="paragraph" w:customStyle="1" w:styleId="27">
    <w:name w:val="RAN4 H2"/>
    <w:basedOn w:val="3"/>
    <w:next w:val="1"/>
    <w:link w:val="29"/>
    <w:qFormat/>
    <w:uiPriority w:val="0"/>
    <w:rPr>
      <w:lang w:val="en-US"/>
    </w:rPr>
  </w:style>
  <w:style w:type="paragraph" w:customStyle="1" w:styleId="28">
    <w:name w:val="RAN4 H1"/>
    <w:basedOn w:val="1"/>
    <w:link w:val="3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29">
    <w:name w:val="RAN4 H2 Char"/>
    <w:basedOn w:val="24"/>
    <w:link w:val="27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30">
    <w:name w:val="RAN4 Observation"/>
    <w:basedOn w:val="26"/>
    <w:next w:val="1"/>
    <w:link w:val="34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1">
    <w:name w:val="RAN4 H1 Char"/>
    <w:basedOn w:val="20"/>
    <w:link w:val="28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2">
    <w:name w:val="RAN4 Proposal"/>
    <w:basedOn w:val="26"/>
    <w:next w:val="1"/>
    <w:link w:val="35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3">
    <w:name w:val="List Paragraph Char"/>
    <w:basedOn w:val="20"/>
    <w:link w:val="26"/>
    <w:qFormat/>
    <w:uiPriority w:val="34"/>
  </w:style>
  <w:style w:type="character" w:customStyle="1" w:styleId="34">
    <w:name w:val="RAN4 Observation Char"/>
    <w:basedOn w:val="33"/>
    <w:link w:val="30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5">
    <w:name w:val="RAN4 Proposal Char"/>
    <w:basedOn w:val="33"/>
    <w:link w:val="32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6">
    <w:name w:val="RAN4 proposal"/>
    <w:basedOn w:val="6"/>
    <w:next w:val="1"/>
    <w:link w:val="39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7">
    <w:name w:val="TOC Heading"/>
    <w:basedOn w:val="2"/>
    <w:next w:val="1"/>
    <w:unhideWhenUsed/>
    <w:qFormat/>
    <w:uiPriority w:val="39"/>
    <w:pPr>
      <w:outlineLvl w:val="9"/>
    </w:pPr>
  </w:style>
  <w:style w:type="character" w:customStyle="1" w:styleId="38">
    <w:name w:val="Caption Char"/>
    <w:basedOn w:val="20"/>
    <w:link w:val="6"/>
    <w:qFormat/>
    <w:uiPriority w:val="35"/>
    <w:rPr>
      <w:rFonts w:ascii="Arial" w:hAnsi="Arial"/>
      <w:i/>
      <w:iCs/>
      <w:sz w:val="18"/>
      <w:szCs w:val="18"/>
    </w:rPr>
  </w:style>
  <w:style w:type="character" w:customStyle="1" w:styleId="39">
    <w:name w:val="RAN4 proposal Char"/>
    <w:basedOn w:val="38"/>
    <w:link w:val="36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40">
    <w:name w:val="RAN4 observation"/>
    <w:basedOn w:val="30"/>
    <w:next w:val="1"/>
    <w:link w:val="41"/>
    <w:qFormat/>
    <w:uiPriority w:val="0"/>
    <w:pPr>
      <w:ind w:left="0" w:firstLine="0"/>
    </w:pPr>
    <w:rPr>
      <w:sz w:val="22"/>
    </w:rPr>
  </w:style>
  <w:style w:type="character" w:customStyle="1" w:styleId="41">
    <w:name w:val="RAN4 observation Char"/>
    <w:basedOn w:val="34"/>
    <w:link w:val="40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2">
    <w:name w:val="Unresolved Mention"/>
    <w:basedOn w:val="20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3">
    <w:name w:val="Heading 4 Char"/>
    <w:basedOn w:val="20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4">
    <w:name w:val="Doc-text2 Char"/>
    <w:link w:val="45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5">
    <w:name w:val="Doc-text2"/>
    <w:basedOn w:val="1"/>
    <w:link w:val="44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6">
    <w:name w:val="Body Text Char"/>
    <w:basedOn w:val="20"/>
    <w:link w:val="8"/>
    <w:semiHidden/>
    <w:qFormat/>
    <w:uiPriority w:val="0"/>
    <w:rPr>
      <w:rFonts w:ascii="Arial" w:hAnsi="Arial"/>
      <w:lang w:val="da-DK" w:eastAsia="zh-CN"/>
    </w:rPr>
  </w:style>
  <w:style w:type="paragraph" w:customStyle="1" w:styleId="47">
    <w:name w:val="Agreement"/>
    <w:basedOn w:val="1"/>
    <w:next w:val="45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48">
    <w:name w:val="TAL"/>
    <w:basedOn w:val="1"/>
    <w:link w:val="49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49">
    <w:name w:val="TAL Char"/>
    <w:link w:val="48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50">
    <w:name w:val="B2"/>
    <w:basedOn w:val="9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1">
    <w:name w:val="EmailDiscussion"/>
    <w:basedOn w:val="1"/>
    <w:next w:val="1"/>
    <w:link w:val="52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2">
    <w:name w:val="EmailDiscussion Char"/>
    <w:link w:val="51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3">
    <w:name w:val="Header Char"/>
    <w:basedOn w:val="20"/>
    <w:link w:val="12"/>
    <w:semiHidden/>
    <w:qFormat/>
    <w:locked/>
    <w:uiPriority w:val="0"/>
    <w:rPr>
      <w:rFonts w:ascii="Tms Rmn" w:hAnsi="Tms Rmn"/>
      <w:b/>
      <w:sz w:val="18"/>
    </w:rPr>
  </w:style>
  <w:style w:type="character" w:customStyle="1" w:styleId="54">
    <w:name w:val="Header Char1"/>
    <w:basedOn w:val="20"/>
    <w:semiHidden/>
    <w:qFormat/>
    <w:uiPriority w:val="99"/>
    <w:rPr>
      <w:rFonts w:ascii="Times New Roman" w:hAnsi="Times New Roman"/>
      <w:sz w:val="20"/>
    </w:rPr>
  </w:style>
  <w:style w:type="character" w:customStyle="1" w:styleId="55">
    <w:name w:val="Balloon Text Char"/>
    <w:basedOn w:val="20"/>
    <w:link w:val="11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6">
    <w:name w:val="CR Cover Page Zchn"/>
    <w:link w:val="57"/>
    <w:qFormat/>
    <w:locked/>
    <w:uiPriority w:val="0"/>
    <w:rPr>
      <w:rFonts w:ascii="Arial" w:hAnsi="Arial" w:cs="Arial"/>
      <w:lang w:val="en-GB"/>
    </w:rPr>
  </w:style>
  <w:style w:type="paragraph" w:customStyle="1" w:styleId="57">
    <w:name w:val="CR Cover Page"/>
    <w:link w:val="56"/>
    <w:qFormat/>
    <w:uiPriority w:val="0"/>
    <w:pPr>
      <w:spacing w:after="120" w:line="240" w:lineRule="auto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58">
    <w:name w:val="Comment Text Char"/>
    <w:basedOn w:val="20"/>
    <w:link w:val="7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59">
    <w:name w:val="Comment Subject Char"/>
    <w:basedOn w:val="58"/>
    <w:link w:val="17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60">
    <w:name w:val="3GPP Normal Text"/>
    <w:basedOn w:val="8"/>
    <w:link w:val="61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1">
    <w:name w:val="3GPP Normal Text Char"/>
    <w:link w:val="60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2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4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6">
    <w:name w:val="B1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7.xml"/><Relationship Id="rId13" Type="http://schemas.openxmlformats.org/officeDocument/2006/relationships/customXml" Target="../customXml/item6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B5B53C8-48A5-44AD-B897-E90CB0B8E3EC}">
  <ds:schemaRefs/>
</ds:datastoreItem>
</file>

<file path=customXml/itemProps3.xml><?xml version="1.0" encoding="utf-8"?>
<ds:datastoreItem xmlns:ds="http://schemas.openxmlformats.org/officeDocument/2006/customXml" ds:itemID="{08DA32A5-C37F-4DB0-94C0-5301A1F35695}">
  <ds:schemaRefs/>
</ds:datastoreItem>
</file>

<file path=customXml/itemProps4.xml><?xml version="1.0" encoding="utf-8"?>
<ds:datastoreItem xmlns:ds="http://schemas.openxmlformats.org/officeDocument/2006/customXml" ds:itemID="{EAA4E9F1-3478-4E48-ACB7-A0EA7CF8F594}">
  <ds:schemaRefs/>
</ds:datastoreItem>
</file>

<file path=customXml/itemProps5.xml><?xml version="1.0" encoding="utf-8"?>
<ds:datastoreItem xmlns:ds="http://schemas.openxmlformats.org/officeDocument/2006/customXml" ds:itemID="{DDD117E1-8C1C-466A-8D7F-EAF64C1488C0}">
  <ds:schemaRefs/>
</ds:datastoreItem>
</file>

<file path=customXml/itemProps6.xml><?xml version="1.0" encoding="utf-8"?>
<ds:datastoreItem xmlns:ds="http://schemas.openxmlformats.org/officeDocument/2006/customXml" ds:itemID="{E8E32C24-5F96-4713-A70F-A7BA20BB6CD6}">
  <ds:schemaRefs/>
</ds:datastoreItem>
</file>

<file path=customXml/itemProps7.xml><?xml version="1.0" encoding="utf-8"?>
<ds:datastoreItem xmlns:ds="http://schemas.openxmlformats.org/officeDocument/2006/customXml" ds:itemID="{E173285D-2887-45E3-A024-3D1E71CC8E7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877</Words>
  <Characters>5355</Characters>
  <Lines>44</Lines>
  <Paragraphs>12</Paragraphs>
  <TotalTime>0</TotalTime>
  <ScaleCrop>false</ScaleCrop>
  <LinksUpToDate>false</LinksUpToDate>
  <CharactersWithSpaces>6220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Nokia</dc:creator>
  <cp:lastModifiedBy>Ricky (ZTE)</cp:lastModifiedBy>
  <cp:lastPrinted>2019-04-29T06:52:00Z</cp:lastPrinted>
  <dcterms:modified xsi:type="dcterms:W3CDTF">2020-05-15T02:40:23Z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2052-11.8.2.8621</vt:lpwstr>
  </property>
</Properties>
</file>